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Pr="00B83683" w:rsidRDefault="008842BA" w:rsidP="00B8368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Default="008842BA" w:rsidP="004A0B69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201</w:t>
      </w:r>
      <w:r w:rsidR="00C62B4E">
        <w:rPr>
          <w:sz w:val="28"/>
          <w:szCs w:val="28"/>
        </w:rPr>
        <w:t>9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4A0B69">
      <w:pPr>
        <w:rPr>
          <w:sz w:val="28"/>
          <w:szCs w:val="28"/>
        </w:rPr>
      </w:pPr>
    </w:p>
    <w:p w:rsidR="00C471A0" w:rsidRDefault="008842BA" w:rsidP="004A0B69">
      <w:pPr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C471A0">
        <w:rPr>
          <w:b/>
          <w:sz w:val="28"/>
          <w:szCs w:val="28"/>
        </w:rPr>
        <w:t>конкурсного отбора по предоставлению субсидий из областного бюджета Ленинградской области в рамках подпрограммы «</w:t>
      </w:r>
      <w:r w:rsidR="00596258">
        <w:rPr>
          <w:b/>
          <w:sz w:val="28"/>
          <w:szCs w:val="28"/>
        </w:rPr>
        <w:t>Патриотическое воспитание граждан Ленинградской области</w:t>
      </w:r>
      <w:r w:rsidR="00C471A0">
        <w:rPr>
          <w:b/>
          <w:sz w:val="28"/>
          <w:szCs w:val="28"/>
        </w:rPr>
        <w:t xml:space="preserve">» государственной программы «Устойчивое общественное развитие Ленинградской области социально ориентированным некоммерческих организациям, осуществляющим деятельность в сфере </w:t>
      </w:r>
      <w:r w:rsidR="00596258">
        <w:rPr>
          <w:b/>
          <w:sz w:val="28"/>
          <w:szCs w:val="28"/>
        </w:rPr>
        <w:t>патриотического воспитания молодежи</w:t>
      </w:r>
      <w:r w:rsidR="00C471A0">
        <w:rPr>
          <w:b/>
          <w:sz w:val="28"/>
          <w:szCs w:val="28"/>
        </w:rPr>
        <w:t>.</w:t>
      </w:r>
      <w:proofErr w:type="gramEnd"/>
    </w:p>
    <w:p w:rsidR="008842BA" w:rsidRPr="00CD3F31" w:rsidRDefault="008842BA" w:rsidP="004A0B69">
      <w:pPr>
        <w:jc w:val="both"/>
        <w:rPr>
          <w:sz w:val="28"/>
          <w:szCs w:val="28"/>
        </w:rPr>
      </w:pPr>
    </w:p>
    <w:p w:rsidR="00C864CD" w:rsidRPr="00C864CD" w:rsidRDefault="00C864CD" w:rsidP="00C62B4E">
      <w:pPr>
        <w:suppressAutoHyphens w:val="0"/>
        <w:spacing w:line="276" w:lineRule="auto"/>
        <w:ind w:firstLine="360"/>
        <w:jc w:val="both"/>
        <w:rPr>
          <w:sz w:val="32"/>
          <w:szCs w:val="28"/>
        </w:rPr>
      </w:pPr>
      <w:proofErr w:type="gramStart"/>
      <w:r w:rsidRPr="00C864CD">
        <w:rPr>
          <w:sz w:val="28"/>
          <w:lang w:eastAsia="ru-RU"/>
        </w:rPr>
        <w:t>В соответствии с пунктом 2 статьи 78.1 Бюджетного кодекса Российской Федерации, постановления Правительства Российской Федерации от 07 мая 2017 года № 541 «Об общих требованиях 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</w:t>
      </w:r>
      <w:r>
        <w:rPr>
          <w:sz w:val="28"/>
          <w:lang w:eastAsia="ru-RU"/>
        </w:rPr>
        <w:t xml:space="preserve"> Порядком </w:t>
      </w:r>
      <w:r w:rsidRPr="00C864CD">
        <w:rPr>
          <w:sz w:val="28"/>
          <w:lang w:eastAsia="ru-RU"/>
        </w:rPr>
        <w:t>определения</w:t>
      </w:r>
      <w:proofErr w:type="gramEnd"/>
      <w:r w:rsidRPr="00C864CD">
        <w:rPr>
          <w:sz w:val="28"/>
          <w:lang w:eastAsia="ru-RU"/>
        </w:rPr>
        <w:t xml:space="preserve"> объема и предоставления субсидий из областного бюджета Ленинградской области (подпрограммы «</w:t>
      </w:r>
      <w:r w:rsidR="00596258">
        <w:rPr>
          <w:sz w:val="28"/>
          <w:lang w:eastAsia="ru-RU"/>
        </w:rPr>
        <w:t xml:space="preserve">Патриотическое воспитание граждан </w:t>
      </w:r>
      <w:r w:rsidRPr="00C864CD">
        <w:rPr>
          <w:sz w:val="28"/>
          <w:lang w:eastAsia="ru-RU"/>
        </w:rPr>
        <w:t xml:space="preserve">Ленинградской области»  государственной программы Ленинградской области «Устойчивое общественное развитие в Ленинградской области»)  социально ориентированным некоммерческим организациям Ленинградской области, осуществляющим деятельность в сфере  </w:t>
      </w:r>
      <w:r w:rsidR="00596258">
        <w:rPr>
          <w:sz w:val="28"/>
          <w:lang w:eastAsia="ru-RU"/>
        </w:rPr>
        <w:t>патриотического воспитания молодежи</w:t>
      </w:r>
      <w:r>
        <w:rPr>
          <w:sz w:val="28"/>
          <w:lang w:eastAsia="ru-RU"/>
        </w:rPr>
        <w:t xml:space="preserve">, утвержденным постановлением Правительства Ленинградской области № 539 от 29 декабря 2018 года: </w:t>
      </w:r>
    </w:p>
    <w:p w:rsidR="00C864CD" w:rsidRDefault="008842BA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 w:rsidRPr="00C864CD">
        <w:rPr>
          <w:sz w:val="28"/>
          <w:szCs w:val="28"/>
        </w:rPr>
        <w:t xml:space="preserve">Организовать и провести </w:t>
      </w:r>
      <w:r w:rsidR="00C864CD">
        <w:rPr>
          <w:sz w:val="28"/>
          <w:szCs w:val="28"/>
        </w:rPr>
        <w:t xml:space="preserve">в срок </w:t>
      </w:r>
      <w:r w:rsidR="00A41695">
        <w:rPr>
          <w:sz w:val="28"/>
          <w:szCs w:val="28"/>
        </w:rPr>
        <w:t xml:space="preserve">с 01 по 30 апреля 2019 года </w:t>
      </w:r>
      <w:r w:rsidR="00C864CD">
        <w:rPr>
          <w:sz w:val="28"/>
          <w:szCs w:val="28"/>
        </w:rPr>
        <w:t xml:space="preserve">конкурсный отбор </w:t>
      </w:r>
      <w:r w:rsidR="00C864CD" w:rsidRPr="00C864CD">
        <w:rPr>
          <w:sz w:val="28"/>
          <w:szCs w:val="28"/>
        </w:rPr>
        <w:t>по предоставлению субсидий из областного бюджета Ленинградской области в рамках подпрограммы «</w:t>
      </w:r>
      <w:r w:rsidR="00596258">
        <w:rPr>
          <w:sz w:val="28"/>
        </w:rPr>
        <w:t>Патриотическое воспитание граждан</w:t>
      </w:r>
      <w:r w:rsidR="00596258" w:rsidRPr="00C864CD">
        <w:rPr>
          <w:sz w:val="28"/>
          <w:szCs w:val="28"/>
        </w:rPr>
        <w:t xml:space="preserve"> </w:t>
      </w:r>
      <w:r w:rsidR="00C864CD" w:rsidRPr="00C864CD">
        <w:rPr>
          <w:sz w:val="28"/>
          <w:szCs w:val="28"/>
        </w:rPr>
        <w:t xml:space="preserve">Ленинградской области» государственной программы «Устойчивое общественное развитие Ленинградской области социально ориентированным некоммерческих организациям, осуществляющим деятельность в сфере </w:t>
      </w:r>
      <w:r w:rsidR="00596258">
        <w:rPr>
          <w:sz w:val="28"/>
          <w:szCs w:val="28"/>
        </w:rPr>
        <w:t xml:space="preserve">патриотического воспитания молодежи </w:t>
      </w:r>
      <w:r w:rsidR="00C864CD">
        <w:rPr>
          <w:sz w:val="28"/>
          <w:szCs w:val="28"/>
        </w:rPr>
        <w:t xml:space="preserve">(далее – Конкурсный </w:t>
      </w:r>
      <w:r w:rsidR="00A41695">
        <w:rPr>
          <w:sz w:val="28"/>
          <w:szCs w:val="28"/>
        </w:rPr>
        <w:t xml:space="preserve">отбор) в объеме 2 </w:t>
      </w:r>
      <w:r w:rsidR="00596258">
        <w:rPr>
          <w:sz w:val="28"/>
          <w:szCs w:val="28"/>
        </w:rPr>
        <w:t>0</w:t>
      </w:r>
      <w:r w:rsidR="00C864CD">
        <w:rPr>
          <w:sz w:val="28"/>
          <w:szCs w:val="28"/>
        </w:rPr>
        <w:t xml:space="preserve">00 </w:t>
      </w:r>
      <w:r w:rsidR="00C62B4E">
        <w:rPr>
          <w:sz w:val="28"/>
          <w:szCs w:val="28"/>
        </w:rPr>
        <w:t>тыс. рублей.</w:t>
      </w:r>
      <w:proofErr w:type="gramEnd"/>
    </w:p>
    <w:p w:rsidR="00A41695" w:rsidRDefault="00A41695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сроки приема заявок социально ориентированных некоммерческих организаций, осуществляющих деятельность в сфере патриотического воспитания молодежи (далее – СО НКО) на участие в Конкурсном отборе с 04 по 19 апреля 2019 года.</w:t>
      </w:r>
    </w:p>
    <w:p w:rsidR="00A41695" w:rsidRDefault="00A41695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СО НКО на участие в Конкурсном  отборе предоставляются в комитет по молодежной политике Ленинградской области (далее – Комитет) в одном экземпляре на бумажном носителе непосредственно (нарочно) или на электронную почту </w:t>
      </w:r>
      <w:hyperlink r:id="rId9" w:history="1">
        <w:r w:rsidRPr="00060BF5">
          <w:rPr>
            <w:rStyle w:val="a3"/>
            <w:sz w:val="28"/>
            <w:szCs w:val="28"/>
            <w:lang w:val="en-US"/>
          </w:rPr>
          <w:t>omplo</w:t>
        </w:r>
        <w:r w:rsidRPr="00060BF5">
          <w:rPr>
            <w:rStyle w:val="a3"/>
            <w:sz w:val="28"/>
            <w:szCs w:val="28"/>
          </w:rPr>
          <w:t>@</w:t>
        </w:r>
        <w:r w:rsidRPr="00060BF5">
          <w:rPr>
            <w:rStyle w:val="a3"/>
            <w:sz w:val="28"/>
            <w:szCs w:val="28"/>
            <w:lang w:val="en-US"/>
          </w:rPr>
          <w:t>lenreg</w:t>
        </w:r>
        <w:r w:rsidRPr="00060BF5">
          <w:rPr>
            <w:rStyle w:val="a3"/>
            <w:sz w:val="28"/>
            <w:szCs w:val="28"/>
          </w:rPr>
          <w:t>.</w:t>
        </w:r>
        <w:r w:rsidRPr="00060BF5">
          <w:rPr>
            <w:rStyle w:val="a3"/>
            <w:sz w:val="28"/>
            <w:szCs w:val="28"/>
            <w:lang w:val="en-US"/>
          </w:rPr>
          <w:t>ru</w:t>
        </w:r>
      </w:hyperlink>
      <w:r w:rsidRPr="00BE627C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направления заявки на бумажном носителе все листы должны быть прошиты и пронумерованы, скреплены печатью и подписью руководителя или уполномоченного лица СО НКО.</w:t>
      </w:r>
      <w:proofErr w:type="gramEnd"/>
      <w:r>
        <w:rPr>
          <w:sz w:val="28"/>
          <w:szCs w:val="28"/>
        </w:rPr>
        <w:t xml:space="preserve"> Заявки заполняются по форме согласно Приложению к настоящему распоряжению.</w:t>
      </w:r>
    </w:p>
    <w:p w:rsidR="00A41695" w:rsidRDefault="00A41695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 w:rsidRPr="00BE6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Ведущему специалисту отдела молодежной политики Богдановой М.С. разместить на официальном сайте Комитета информацию о проведении Конкурсного отбора в срок не позднее  01 апреля 2019 года. </w:t>
      </w:r>
    </w:p>
    <w:p w:rsidR="00A41695" w:rsidRDefault="00A41695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отделу молодежной политики Васильевой П.С.:</w:t>
      </w:r>
    </w:p>
    <w:p w:rsidR="00A41695" w:rsidRPr="00125022" w:rsidRDefault="00A41695" w:rsidP="00A41695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5022">
        <w:rPr>
          <w:sz w:val="28"/>
          <w:szCs w:val="28"/>
        </w:rPr>
        <w:t>рганизовать прием заявок СО НКО</w:t>
      </w:r>
      <w:r>
        <w:rPr>
          <w:sz w:val="28"/>
          <w:szCs w:val="28"/>
        </w:rPr>
        <w:t xml:space="preserve"> на участие в Конкурсном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>;</w:t>
      </w:r>
    </w:p>
    <w:p w:rsidR="00A41695" w:rsidRPr="00125022" w:rsidRDefault="00A41695" w:rsidP="00A41695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5022">
        <w:rPr>
          <w:sz w:val="28"/>
          <w:szCs w:val="28"/>
        </w:rPr>
        <w:t xml:space="preserve">одготовить проект распоряжения Комитета о формировании Экспертного совета по проведению Конкурсного отбора в срок до </w:t>
      </w:r>
      <w:r>
        <w:rPr>
          <w:sz w:val="28"/>
          <w:szCs w:val="28"/>
        </w:rPr>
        <w:t>15</w:t>
      </w:r>
      <w:r w:rsidRPr="0012502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 года;</w:t>
      </w:r>
    </w:p>
    <w:p w:rsidR="00A41695" w:rsidRPr="00125022" w:rsidRDefault="00A41695" w:rsidP="00A41695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5022">
        <w:rPr>
          <w:sz w:val="28"/>
          <w:szCs w:val="28"/>
        </w:rPr>
        <w:t xml:space="preserve">рганизовать очный этап Конкурсного отбора в период с </w:t>
      </w:r>
      <w:r>
        <w:rPr>
          <w:sz w:val="28"/>
          <w:szCs w:val="28"/>
        </w:rPr>
        <w:t>20</w:t>
      </w:r>
      <w:r w:rsidRPr="00125022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12502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25022">
        <w:rPr>
          <w:sz w:val="28"/>
          <w:szCs w:val="28"/>
        </w:rPr>
        <w:t xml:space="preserve"> 2019 года.</w:t>
      </w:r>
    </w:p>
    <w:p w:rsidR="00A41695" w:rsidRPr="001C5EA8" w:rsidRDefault="00A41695" w:rsidP="00A41695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 w:rsidRPr="00CD3F31">
        <w:rPr>
          <w:sz w:val="28"/>
          <w:szCs w:val="28"/>
        </w:rPr>
        <w:t>Контроль за</w:t>
      </w:r>
      <w:proofErr w:type="gramEnd"/>
      <w:r w:rsidRPr="00CD3F31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первого заместителя председателя комитета Соколова М.А..</w:t>
      </w:r>
    </w:p>
    <w:p w:rsidR="00A41695" w:rsidRDefault="00A41695" w:rsidP="00A41695">
      <w:pPr>
        <w:tabs>
          <w:tab w:val="num" w:pos="0"/>
        </w:tabs>
        <w:ind w:firstLine="66"/>
        <w:rPr>
          <w:sz w:val="20"/>
          <w:szCs w:val="20"/>
        </w:rPr>
      </w:pPr>
    </w:p>
    <w:p w:rsidR="00A41695" w:rsidRPr="00CD3F31" w:rsidRDefault="00A41695" w:rsidP="00A41695">
      <w:pPr>
        <w:tabs>
          <w:tab w:val="num" w:pos="0"/>
        </w:tabs>
        <w:ind w:firstLine="66"/>
        <w:rPr>
          <w:sz w:val="20"/>
          <w:szCs w:val="20"/>
        </w:rPr>
      </w:pPr>
    </w:p>
    <w:p w:rsidR="00A41695" w:rsidRDefault="00A41695" w:rsidP="00A41695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А.Г. Орлов </w:t>
      </w:r>
    </w:p>
    <w:p w:rsidR="00A41695" w:rsidRDefault="00A41695" w:rsidP="00A41695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A41695" w:rsidRPr="00B83683" w:rsidRDefault="00A41695" w:rsidP="00A41695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A41695" w:rsidRDefault="00A41695" w:rsidP="00A41695">
      <w:pPr>
        <w:widowControl w:val="0"/>
        <w:spacing w:line="360" w:lineRule="auto"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Соколов М.А.</w:t>
      </w:r>
    </w:p>
    <w:p w:rsidR="00A41695" w:rsidRDefault="00A41695" w:rsidP="00A41695">
      <w:pPr>
        <w:widowControl w:val="0"/>
        <w:spacing w:line="360" w:lineRule="auto"/>
        <w:jc w:val="both"/>
        <w:rPr>
          <w:sz w:val="28"/>
          <w:szCs w:val="28"/>
        </w:rPr>
      </w:pPr>
    </w:p>
    <w:p w:rsidR="00A41695" w:rsidRDefault="00A41695" w:rsidP="00A416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 Богданова М.С.</w:t>
      </w:r>
    </w:p>
    <w:p w:rsidR="00A41695" w:rsidRDefault="00A41695" w:rsidP="00A4169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Васильева П.С.</w:t>
      </w:r>
    </w:p>
    <w:p w:rsidR="00A41695" w:rsidRDefault="00A41695" w:rsidP="00A41695">
      <w:pPr>
        <w:widowControl w:val="0"/>
        <w:spacing w:line="360" w:lineRule="auto"/>
        <w:jc w:val="both"/>
        <w:rPr>
          <w:sz w:val="28"/>
          <w:szCs w:val="28"/>
        </w:rPr>
      </w:pPr>
    </w:p>
    <w:p w:rsidR="00A41695" w:rsidRDefault="00A41695" w:rsidP="00A41695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</w:p>
    <w:p w:rsidR="00A41695" w:rsidRDefault="00A41695" w:rsidP="00A41695">
      <w:pPr>
        <w:rPr>
          <w:sz w:val="20"/>
          <w:szCs w:val="20"/>
        </w:rPr>
      </w:pPr>
      <w:r>
        <w:rPr>
          <w:sz w:val="20"/>
          <w:szCs w:val="20"/>
        </w:rPr>
        <w:t>Исп. П.С. Васильева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>
        <w:rPr>
          <w:sz w:val="20"/>
          <w:szCs w:val="20"/>
        </w:rPr>
        <w:br w:type="page"/>
      </w:r>
      <w:r w:rsidRPr="003A322E">
        <w:rPr>
          <w:b/>
          <w:sz w:val="28"/>
          <w:szCs w:val="20"/>
        </w:rPr>
        <w:lastRenderedPageBreak/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_____________2019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</w:t>
      </w:r>
      <w:proofErr w:type="gramStart"/>
      <w:r w:rsidRPr="003A322E">
        <w:rPr>
          <w:b/>
          <w:sz w:val="28"/>
          <w:szCs w:val="20"/>
        </w:rPr>
        <w:t>отбор</w:t>
      </w:r>
      <w:r>
        <w:rPr>
          <w:b/>
          <w:sz w:val="28"/>
          <w:szCs w:val="20"/>
        </w:rPr>
        <w:t>е</w:t>
      </w:r>
      <w:proofErr w:type="gramEnd"/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</w:t>
      </w:r>
      <w:proofErr w:type="gramStart"/>
      <w:r w:rsidRPr="003A322E">
        <w:rPr>
          <w:b/>
          <w:sz w:val="28"/>
          <w:szCs w:val="20"/>
        </w:rPr>
        <w:t>по предоставлению субсидий из областного бюджета Ленинградской области в рамках подпрограммы «</w:t>
      </w:r>
      <w:r w:rsidR="008A061E">
        <w:rPr>
          <w:b/>
          <w:sz w:val="28"/>
          <w:szCs w:val="20"/>
        </w:rPr>
        <w:t>Патриотическое воспитание граждан Ленинградской области</w:t>
      </w:r>
      <w:r w:rsidRPr="003A322E">
        <w:rPr>
          <w:b/>
          <w:sz w:val="28"/>
          <w:szCs w:val="20"/>
        </w:rPr>
        <w:t>» государственной программы «Устойчивое общественное развитие Ленинградской области</w:t>
      </w:r>
      <w:r>
        <w:rPr>
          <w:b/>
          <w:sz w:val="28"/>
          <w:szCs w:val="20"/>
        </w:rPr>
        <w:t>»</w:t>
      </w:r>
      <w:r w:rsidRPr="003A322E">
        <w:rPr>
          <w:b/>
          <w:sz w:val="28"/>
          <w:szCs w:val="20"/>
        </w:rPr>
        <w:t xml:space="preserve"> социально ориентированным некоммерческих организациям, осуществляющим деятельност</w:t>
      </w:r>
      <w:r w:rsidR="008A061E">
        <w:rPr>
          <w:b/>
          <w:sz w:val="28"/>
          <w:szCs w:val="20"/>
        </w:rPr>
        <w:t>ь в сфере патриотического воспитания молодежи</w:t>
      </w:r>
      <w:proofErr w:type="gramEnd"/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bookmarkStart w:id="0" w:name="_GoBack"/>
            <w:bookmarkEnd w:id="0"/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География проекта (перечислить муниципальные образования, на </w:t>
            </w:r>
            <w:proofErr w:type="gramStart"/>
            <w:r>
              <w:rPr>
                <w:szCs w:val="26"/>
              </w:rPr>
              <w:t>территории</w:t>
            </w:r>
            <w:proofErr w:type="gramEnd"/>
            <w:r>
              <w:rPr>
                <w:szCs w:val="26"/>
              </w:rPr>
              <w:t xml:space="preserve">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Количество добровольцев (волонтеров), которые будут привлечены к реализации </w:t>
            </w:r>
            <w:r w:rsidRPr="00BB13B3">
              <w:rPr>
                <w:szCs w:val="26"/>
              </w:rPr>
              <w:lastRenderedPageBreak/>
              <w:t>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  <w:r w:rsidRPr="00BB13B3">
        <w:rPr>
          <w:lang w:eastAsia="en-US"/>
        </w:rPr>
        <w:br w:type="page"/>
      </w:r>
    </w:p>
    <w:p w:rsidR="00A41695" w:rsidRPr="00D87148" w:rsidRDefault="00A41695" w:rsidP="00A41695">
      <w:pPr>
        <w:widowControl w:val="0"/>
        <w:autoSpaceDE w:val="0"/>
        <w:autoSpaceDN w:val="0"/>
        <w:jc w:val="center"/>
        <w:rPr>
          <w:b/>
          <w:szCs w:val="20"/>
        </w:rPr>
      </w:pPr>
      <w:r w:rsidRPr="00D87148">
        <w:rPr>
          <w:b/>
          <w:szCs w:val="20"/>
        </w:rPr>
        <w:lastRenderedPageBreak/>
        <w:t>СМЕТА РАСХОДОВ</w:t>
      </w:r>
    </w:p>
    <w:p w:rsidR="00A41695" w:rsidRPr="00BB13B3" w:rsidRDefault="00A41695" w:rsidP="00A41695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szCs w:val="20"/>
        </w:rPr>
      </w:pPr>
      <w:r w:rsidRPr="00BB13B3">
        <w:rPr>
          <w:szCs w:val="20"/>
        </w:rPr>
        <w:t>на реализацию проекта</w:t>
      </w:r>
    </w:p>
    <w:p w:rsidR="00A41695" w:rsidRPr="00BB13B3" w:rsidRDefault="00A41695" w:rsidP="00A41695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проекта)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A41695" w:rsidRPr="00BB13B3" w:rsidTr="00F022CD">
        <w:tc>
          <w:tcPr>
            <w:tcW w:w="3544" w:type="dxa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3544" w:type="dxa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 xml:space="preserve">№ </w:t>
            </w:r>
            <w:proofErr w:type="gramStart"/>
            <w:r w:rsidRPr="00BB13B3">
              <w:t>п</w:t>
            </w:r>
            <w:proofErr w:type="gramEnd"/>
            <w:r w:rsidRPr="00BB13B3">
              <w:t>/п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Наименование статьи затрат**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B13B3"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Общая стоимость Проекта (руб.)</w:t>
            </w: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1.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Фонд оплаты труда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1.1.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1.2.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1.3.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1.4.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Административные расходы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2.1.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Аренда помещения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2.2.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 xml:space="preserve">Оплата коммунальных </w:t>
            </w:r>
            <w:r w:rsidRPr="00BB13B3">
              <w:lastRenderedPageBreak/>
              <w:t>услуг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lastRenderedPageBreak/>
              <w:t>2.3.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2.4.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Расходы на банковское обслуживание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2.5.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2.6.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3.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Организационные расходы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3.1.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Издательско-полиграфические услуги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3.2.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Питание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3.3.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Проживание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4.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Транспортные расходы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5.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709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BB13B3">
              <w:t>6.</w:t>
            </w:r>
          </w:p>
        </w:tc>
        <w:tc>
          <w:tcPr>
            <w:tcW w:w="2835" w:type="dxa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Прочие расходы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6100" w:type="dxa"/>
            <w:gridSpan w:val="4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right"/>
            </w:pPr>
            <w:r w:rsidRPr="00BB13B3">
              <w:t>ИТОГО:</w:t>
            </w: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i/>
        </w:rPr>
      </w:pPr>
      <w:r w:rsidRPr="00BB13B3">
        <w:rPr>
          <w:i/>
        </w:rPr>
        <w:t>** - наименование статьи затрат может быть изменено в зависимости от планируемых расходов</w:t>
      </w: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A41695" w:rsidRPr="00D87148" w:rsidRDefault="00A41695" w:rsidP="00A41695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A41695" w:rsidRDefault="00A41695" w:rsidP="00A41695">
      <w:pPr>
        <w:rPr>
          <w:rFonts w:eastAsiaTheme="minorHAnsi"/>
          <w:sz w:val="28"/>
          <w:szCs w:val="28"/>
          <w:lang w:eastAsia="en-US"/>
        </w:rPr>
      </w:pPr>
    </w:p>
    <w:p w:rsidR="00A41695" w:rsidRPr="007E3B5E" w:rsidRDefault="00A41695" w:rsidP="00A41695">
      <w:pPr>
        <w:suppressAutoHyphens w:val="0"/>
        <w:rPr>
          <w:b/>
          <w:sz w:val="28"/>
          <w:szCs w:val="20"/>
        </w:rPr>
      </w:pPr>
    </w:p>
    <w:p w:rsidR="0092132B" w:rsidRDefault="0092132B" w:rsidP="00A41695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</w:pPr>
    </w:p>
    <w:sectPr w:rsidR="0092132B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7E" w:rsidRDefault="00F06D7E" w:rsidP="0026288C">
      <w:r>
        <w:separator/>
      </w:r>
    </w:p>
  </w:endnote>
  <w:endnote w:type="continuationSeparator" w:id="0">
    <w:p w:rsidR="00F06D7E" w:rsidRDefault="00F06D7E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7E" w:rsidRDefault="00F06D7E" w:rsidP="0026288C">
      <w:r>
        <w:separator/>
      </w:r>
    </w:p>
  </w:footnote>
  <w:footnote w:type="continuationSeparator" w:id="0">
    <w:p w:rsidR="00F06D7E" w:rsidRDefault="00F06D7E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4"/>
  </w:num>
  <w:num w:numId="18">
    <w:abstractNumId w:val="22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16129C"/>
    <w:rsid w:val="00176018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73E19"/>
    <w:rsid w:val="003758E7"/>
    <w:rsid w:val="00382895"/>
    <w:rsid w:val="003C6E60"/>
    <w:rsid w:val="00415CA7"/>
    <w:rsid w:val="00445E62"/>
    <w:rsid w:val="004A0B69"/>
    <w:rsid w:val="004B7FD2"/>
    <w:rsid w:val="004C6554"/>
    <w:rsid w:val="00596258"/>
    <w:rsid w:val="00597F71"/>
    <w:rsid w:val="00607BF6"/>
    <w:rsid w:val="00625B7B"/>
    <w:rsid w:val="006E2830"/>
    <w:rsid w:val="00701E20"/>
    <w:rsid w:val="00756BD9"/>
    <w:rsid w:val="007A54E3"/>
    <w:rsid w:val="007B0C5D"/>
    <w:rsid w:val="007C1ACE"/>
    <w:rsid w:val="008135E1"/>
    <w:rsid w:val="0088144D"/>
    <w:rsid w:val="008842BA"/>
    <w:rsid w:val="0088526A"/>
    <w:rsid w:val="00885D41"/>
    <w:rsid w:val="008A061E"/>
    <w:rsid w:val="0092132B"/>
    <w:rsid w:val="0092142C"/>
    <w:rsid w:val="009242AE"/>
    <w:rsid w:val="00940EC5"/>
    <w:rsid w:val="00976330"/>
    <w:rsid w:val="009A26DE"/>
    <w:rsid w:val="009B6C17"/>
    <w:rsid w:val="009E010D"/>
    <w:rsid w:val="00A253EA"/>
    <w:rsid w:val="00A41695"/>
    <w:rsid w:val="00A722FE"/>
    <w:rsid w:val="00A90867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62B4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D12C45"/>
    <w:rsid w:val="00D1505E"/>
    <w:rsid w:val="00D41847"/>
    <w:rsid w:val="00D87221"/>
    <w:rsid w:val="00E313B5"/>
    <w:rsid w:val="00E35F02"/>
    <w:rsid w:val="00E639FF"/>
    <w:rsid w:val="00E73747"/>
    <w:rsid w:val="00EA7643"/>
    <w:rsid w:val="00EC1AF9"/>
    <w:rsid w:val="00ED1298"/>
    <w:rsid w:val="00F06D7E"/>
    <w:rsid w:val="00F50147"/>
    <w:rsid w:val="00F63B10"/>
    <w:rsid w:val="00F65240"/>
    <w:rsid w:val="00F8200D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157A-E9E7-49EA-98FE-32A13B17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Прасковья Сергеевна Васильева</cp:lastModifiedBy>
  <cp:revision>3</cp:revision>
  <cp:lastPrinted>2019-04-01T09:48:00Z</cp:lastPrinted>
  <dcterms:created xsi:type="dcterms:W3CDTF">2019-03-28T12:28:00Z</dcterms:created>
  <dcterms:modified xsi:type="dcterms:W3CDTF">2019-04-01T09:48:00Z</dcterms:modified>
</cp:coreProperties>
</file>